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CC0CF" w14:textId="3349A45E" w:rsidR="004527EA" w:rsidRPr="00D07261" w:rsidRDefault="004527EA" w:rsidP="004527EA">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DF7804">
        <w:rPr>
          <w:b/>
          <w:noProof/>
          <w:sz w:val="24"/>
        </w:rPr>
        <w:t>2101352</w:t>
      </w:r>
      <w:r>
        <w:rPr>
          <w:b/>
          <w:i/>
          <w:noProof/>
          <w:sz w:val="28"/>
        </w:rPr>
        <w:tab/>
      </w:r>
    </w:p>
    <w:p w14:paraId="31FD92FA" w14:textId="767D5B92" w:rsidR="004527EA" w:rsidRPr="000C3D4F" w:rsidRDefault="004527EA" w:rsidP="004527EA">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F77E38" w:rsidRPr="00F77E38">
        <w:rPr>
          <w:rFonts w:eastAsia="MS Mincho" w:cs="Arial"/>
          <w:b/>
          <w:bCs/>
          <w:sz w:val="24"/>
          <w:szCs w:val="24"/>
          <w:lang w:val="en-CN" w:eastAsia="ja-JP"/>
        </w:rPr>
        <w:t>January 25</w:t>
      </w:r>
      <w:r w:rsidR="00F77E38" w:rsidRPr="00F77E38">
        <w:rPr>
          <w:rFonts w:eastAsia="MS Mincho" w:cs="Arial"/>
          <w:b/>
          <w:bCs/>
          <w:sz w:val="24"/>
          <w:szCs w:val="24"/>
          <w:vertAlign w:val="superscript"/>
          <w:lang w:val="en-CN" w:eastAsia="ja-JP"/>
        </w:rPr>
        <w:t>th</w:t>
      </w:r>
      <w:r w:rsidR="00F77E38" w:rsidRPr="00F77E38">
        <w:rPr>
          <w:rFonts w:eastAsia="MS Mincho" w:cs="Arial"/>
          <w:b/>
          <w:bCs/>
          <w:sz w:val="24"/>
          <w:szCs w:val="24"/>
          <w:lang w:val="en-CN" w:eastAsia="ja-JP"/>
        </w:rPr>
        <w:t xml:space="preserve"> – February 5</w:t>
      </w:r>
      <w:r w:rsidR="00F77E38" w:rsidRPr="00F77E38">
        <w:rPr>
          <w:rFonts w:eastAsia="MS Mincho" w:cs="Arial"/>
          <w:b/>
          <w:bCs/>
          <w:sz w:val="24"/>
          <w:szCs w:val="24"/>
          <w:vertAlign w:val="superscript"/>
          <w:lang w:val="en-CN" w:eastAsia="ja-JP"/>
        </w:rPr>
        <w:t>th</w:t>
      </w:r>
      <w:r w:rsidR="00F77E38" w:rsidRPr="00F77E38">
        <w:rPr>
          <w:rFonts w:eastAsia="MS Mincho" w:cs="Arial"/>
          <w:b/>
          <w:bCs/>
          <w:sz w:val="24"/>
          <w:szCs w:val="24"/>
          <w:lang w:val="en-CN" w:eastAsia="ja-JP"/>
        </w:rPr>
        <w:t>,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4F88BFE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8F535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FE1BDE8"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Inter-Cell Multi-TRP</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74599D36" w:rsidR="00FA538C" w:rsidRDefault="00FA538C" w:rsidP="00FA538C">
      <w:pPr>
        <w:pStyle w:val="0Maintext"/>
        <w:spacing w:after="120" w:afterAutospacing="0" w:line="240" w:lineRule="auto"/>
        <w:ind w:firstLine="0"/>
        <w:rPr>
          <w:lang w:val="en-US"/>
        </w:rPr>
      </w:pPr>
      <w:r>
        <w:rPr>
          <w:lang w:val="en-US"/>
        </w:rPr>
        <w:t xml:space="preserve">In </w:t>
      </w:r>
      <w:r w:rsidR="004527EA">
        <w:rPr>
          <w:rFonts w:hint="eastAsia"/>
          <w:lang w:val="en-US" w:eastAsia="zh-CN"/>
        </w:rPr>
        <w:t>RAN</w:t>
      </w:r>
      <w:r w:rsidR="004527EA">
        <w:rPr>
          <w:lang w:val="en-US" w:eastAsia="zh-CN"/>
        </w:rPr>
        <w:t>1 #10</w:t>
      </w:r>
      <w:r w:rsidR="00F77E38">
        <w:rPr>
          <w:lang w:val="en-US" w:eastAsia="zh-CN"/>
        </w:rPr>
        <w:t>3</w:t>
      </w:r>
      <w:r w:rsidR="004527EA">
        <w:rPr>
          <w:lang w:val="en-US" w:eastAsia="zh-CN"/>
        </w:rPr>
        <w:t xml:space="preserve"> meeting</w:t>
      </w:r>
      <w:r>
        <w:rPr>
          <w:rFonts w:hint="eastAsia"/>
          <w:lang w:val="en-US" w:eastAsia="zh-CN"/>
        </w:rPr>
        <w:t>,</w:t>
      </w:r>
      <w:r>
        <w:rPr>
          <w:lang w:val="en-US"/>
        </w:rPr>
        <w:t xml:space="preserve"> the following </w:t>
      </w:r>
      <w:r w:rsidR="004527EA">
        <w:rPr>
          <w:lang w:val="en-US"/>
        </w:rPr>
        <w:t>agreement on inter-cell multi-TRP operation have been achieved.</w:t>
      </w:r>
    </w:p>
    <w:tbl>
      <w:tblPr>
        <w:tblStyle w:val="TableGrid"/>
        <w:tblW w:w="0" w:type="auto"/>
        <w:tblLook w:val="04A0" w:firstRow="1" w:lastRow="0" w:firstColumn="1" w:lastColumn="0" w:noHBand="0" w:noVBand="1"/>
      </w:tblPr>
      <w:tblGrid>
        <w:gridCol w:w="9010"/>
      </w:tblGrid>
      <w:tr w:rsidR="00FA538C" w:rsidRPr="00F77E38" w14:paraId="3ECC7DF1" w14:textId="77777777" w:rsidTr="00B9698A">
        <w:tc>
          <w:tcPr>
            <w:tcW w:w="9010" w:type="dxa"/>
          </w:tcPr>
          <w:p w14:paraId="24C1F32C" w14:textId="77777777" w:rsidR="00F77E38" w:rsidRPr="00F77E38" w:rsidRDefault="00F77E38" w:rsidP="00F77E38">
            <w:pPr>
              <w:rPr>
                <w:b/>
                <w:sz w:val="20"/>
                <w:szCs w:val="20"/>
                <w:highlight w:val="green"/>
              </w:rPr>
            </w:pPr>
            <w:r w:rsidRPr="00F77E38">
              <w:rPr>
                <w:b/>
                <w:sz w:val="20"/>
                <w:szCs w:val="20"/>
                <w:highlight w:val="green"/>
              </w:rPr>
              <w:t>Agreement</w:t>
            </w:r>
          </w:p>
          <w:p w14:paraId="3F9AB766" w14:textId="77777777" w:rsidR="00F77E38" w:rsidRPr="00F77E38" w:rsidRDefault="00F77E38" w:rsidP="00F77E38">
            <w:pPr>
              <w:rPr>
                <w:sz w:val="20"/>
                <w:szCs w:val="20"/>
              </w:rPr>
            </w:pPr>
            <w:r w:rsidRPr="00F77E38">
              <w:rPr>
                <w:sz w:val="20"/>
                <w:szCs w:val="20"/>
              </w:rPr>
              <w:t>For QCL /TCI related enhancement for enhanced inter-cell multi-TRP operations, support RRC configuration of non-serving cell information</w:t>
            </w:r>
          </w:p>
          <w:p w14:paraId="2D7AAAC8" w14:textId="77777777" w:rsidR="00F77E38" w:rsidRPr="00F77E38" w:rsidRDefault="00F77E38" w:rsidP="00F77E38">
            <w:pPr>
              <w:pStyle w:val="ListParagraph"/>
              <w:numPr>
                <w:ilvl w:val="0"/>
                <w:numId w:val="27"/>
              </w:numPr>
              <w:snapToGrid w:val="0"/>
              <w:ind w:leftChars="0"/>
              <w:jc w:val="both"/>
              <w:rPr>
                <w:rFonts w:ascii="Times New Roman" w:hAnsi="Times New Roman"/>
                <w:szCs w:val="20"/>
              </w:rPr>
            </w:pPr>
            <w:r w:rsidRPr="00F77E38">
              <w:rPr>
                <w:rFonts w:ascii="Times New Roman" w:hAnsi="Times New Roman"/>
                <w:szCs w:val="20"/>
              </w:rPr>
              <w:t>Non-serving cell information can be associated with the TCI state and/or QCL -info at least when “</w:t>
            </w:r>
            <w:proofErr w:type="spellStart"/>
            <w:r w:rsidRPr="00F77E38">
              <w:rPr>
                <w:rFonts w:ascii="Times New Roman" w:hAnsi="Times New Roman"/>
                <w:szCs w:val="20"/>
              </w:rPr>
              <w:t>neighbor</w:t>
            </w:r>
            <w:proofErr w:type="spellEnd"/>
            <w:r w:rsidRPr="00F77E38">
              <w:rPr>
                <w:rFonts w:ascii="Times New Roman" w:hAnsi="Times New Roman"/>
                <w:szCs w:val="20"/>
              </w:rPr>
              <w:t xml:space="preserve"> cell SSB” is used as “QCL </w:t>
            </w:r>
            <w:proofErr w:type="spellStart"/>
            <w:proofErr w:type="gramStart"/>
            <w:r w:rsidRPr="00F77E38">
              <w:rPr>
                <w:rFonts w:ascii="Times New Roman" w:hAnsi="Times New Roman"/>
                <w:szCs w:val="20"/>
              </w:rPr>
              <w:t>referenceSignal</w:t>
            </w:r>
            <w:proofErr w:type="spellEnd"/>
            <w:r w:rsidRPr="00F77E38">
              <w:rPr>
                <w:rFonts w:ascii="Times New Roman" w:hAnsi="Times New Roman"/>
                <w:szCs w:val="20"/>
              </w:rPr>
              <w:t xml:space="preserve"> ”</w:t>
            </w:r>
            <w:proofErr w:type="gramEnd"/>
          </w:p>
          <w:p w14:paraId="55F6959E" w14:textId="1B28ECDD" w:rsidR="00F77E38" w:rsidRPr="00F77E38" w:rsidRDefault="00F77E38" w:rsidP="00F77E38">
            <w:pPr>
              <w:pStyle w:val="ListParagraph"/>
              <w:numPr>
                <w:ilvl w:val="1"/>
                <w:numId w:val="27"/>
              </w:numPr>
              <w:snapToGrid w:val="0"/>
              <w:ind w:leftChars="0"/>
              <w:jc w:val="both"/>
              <w:rPr>
                <w:rFonts w:ascii="Times New Roman" w:hAnsi="Times New Roman"/>
                <w:szCs w:val="20"/>
              </w:rPr>
            </w:pPr>
            <w:r w:rsidRPr="00F77E38">
              <w:rPr>
                <w:rFonts w:ascii="Times New Roman" w:hAnsi="Times New Roman"/>
                <w:szCs w:val="20"/>
              </w:rPr>
              <w:t>FFS: Whether beam indication enhancement is needed in addition to QCL -info enhancement</w:t>
            </w:r>
          </w:p>
          <w:p w14:paraId="6FD6BBDE" w14:textId="0C139316" w:rsidR="00F77E38" w:rsidRPr="00F77E38" w:rsidRDefault="00F77E38" w:rsidP="00F77E38">
            <w:pPr>
              <w:pStyle w:val="ListParagraph"/>
              <w:numPr>
                <w:ilvl w:val="1"/>
                <w:numId w:val="27"/>
              </w:numPr>
              <w:snapToGrid w:val="0"/>
              <w:ind w:leftChars="0"/>
              <w:jc w:val="both"/>
              <w:rPr>
                <w:rFonts w:ascii="Times New Roman" w:hAnsi="Times New Roman"/>
                <w:szCs w:val="20"/>
              </w:rPr>
            </w:pPr>
            <w:r w:rsidRPr="00F77E38">
              <w:rPr>
                <w:rFonts w:ascii="Times New Roman" w:hAnsi="Times New Roman"/>
                <w:szCs w:val="20"/>
              </w:rPr>
              <w:t>FFS: Whether the association is explicit or implicit</w:t>
            </w:r>
          </w:p>
          <w:p w14:paraId="1BF21BF3" w14:textId="77777777" w:rsidR="00F77E38" w:rsidRPr="00F77E38" w:rsidRDefault="00F77E38" w:rsidP="00F77E38">
            <w:pPr>
              <w:rPr>
                <w:sz w:val="20"/>
                <w:szCs w:val="20"/>
              </w:rPr>
            </w:pPr>
          </w:p>
          <w:p w14:paraId="32270D20" w14:textId="77777777" w:rsidR="00F77E38" w:rsidRPr="00F77E38" w:rsidRDefault="00F77E38" w:rsidP="00F77E38">
            <w:pPr>
              <w:rPr>
                <w:b/>
                <w:sz w:val="20"/>
                <w:szCs w:val="20"/>
                <w:highlight w:val="green"/>
              </w:rPr>
            </w:pPr>
            <w:r w:rsidRPr="00F77E38">
              <w:rPr>
                <w:b/>
                <w:sz w:val="20"/>
                <w:szCs w:val="20"/>
                <w:highlight w:val="green"/>
              </w:rPr>
              <w:t>Agreement</w:t>
            </w:r>
          </w:p>
          <w:p w14:paraId="1F2F41EB" w14:textId="77777777" w:rsidR="00F77E38" w:rsidRPr="00F77E38" w:rsidRDefault="00F77E38" w:rsidP="00F77E38">
            <w:pPr>
              <w:rPr>
                <w:sz w:val="20"/>
                <w:szCs w:val="20"/>
              </w:rPr>
            </w:pPr>
            <w:r w:rsidRPr="00F77E38">
              <w:rPr>
                <w:sz w:val="20"/>
                <w:szCs w:val="20"/>
              </w:rPr>
              <w:t xml:space="preserve">The information provided by </w:t>
            </w:r>
            <w:r w:rsidRPr="00F77E38">
              <w:rPr>
                <w:i/>
                <w:sz w:val="20"/>
                <w:szCs w:val="20"/>
              </w:rPr>
              <w:t>SSB-Configuration-r16</w:t>
            </w:r>
            <w:r w:rsidRPr="00F77E38">
              <w:rPr>
                <w:sz w:val="20"/>
                <w:szCs w:val="20"/>
              </w:rPr>
              <w:t>/</w:t>
            </w:r>
            <w:r w:rsidRPr="00F77E38">
              <w:rPr>
                <w:i/>
                <w:sz w:val="20"/>
                <w:szCs w:val="20"/>
              </w:rPr>
              <w:t>ssb-InfoNcell-r16</w:t>
            </w:r>
            <w:r w:rsidRPr="00F77E38">
              <w:rPr>
                <w:sz w:val="20"/>
                <w:szCs w:val="20"/>
              </w:rPr>
              <w:t xml:space="preserve"> and/or </w:t>
            </w:r>
            <w:r w:rsidRPr="00F77E38">
              <w:rPr>
                <w:i/>
                <w:sz w:val="20"/>
                <w:szCs w:val="20"/>
              </w:rPr>
              <w:t>MeasObject</w:t>
            </w:r>
            <w:r w:rsidRPr="00F77E38">
              <w:rPr>
                <w:sz w:val="20"/>
                <w:szCs w:val="20"/>
              </w:rPr>
              <w:t xml:space="preserve"> can be starting point for providing non-serving cell information</w:t>
            </w:r>
          </w:p>
          <w:p w14:paraId="7B68AEAB" w14:textId="77777777" w:rsidR="00F77E38" w:rsidRPr="00F77E38" w:rsidRDefault="00F77E38" w:rsidP="00F77E38">
            <w:pPr>
              <w:rPr>
                <w:sz w:val="20"/>
                <w:szCs w:val="20"/>
              </w:rPr>
            </w:pPr>
          </w:p>
          <w:p w14:paraId="7A01C756" w14:textId="77777777" w:rsidR="00F77E38" w:rsidRPr="00F77E38" w:rsidRDefault="00F77E38" w:rsidP="00F77E38">
            <w:pPr>
              <w:rPr>
                <w:b/>
                <w:bCs/>
                <w:sz w:val="20"/>
                <w:szCs w:val="20"/>
                <w:lang w:val="en-US"/>
              </w:rPr>
            </w:pPr>
            <w:r w:rsidRPr="00F77E38">
              <w:rPr>
                <w:b/>
                <w:bCs/>
                <w:sz w:val="20"/>
                <w:szCs w:val="20"/>
                <w:lang w:val="en-US"/>
              </w:rPr>
              <w:t>For future meetings</w:t>
            </w:r>
          </w:p>
          <w:p w14:paraId="314919C4" w14:textId="77777777" w:rsidR="00F77E38" w:rsidRPr="00F77E38" w:rsidRDefault="00F77E38" w:rsidP="00F77E38">
            <w:pPr>
              <w:rPr>
                <w:bCs/>
                <w:sz w:val="20"/>
                <w:szCs w:val="20"/>
                <w:lang w:val="en-US"/>
              </w:rPr>
            </w:pPr>
            <w:r w:rsidRPr="00F77E38">
              <w:rPr>
                <w:rStyle w:val="normaltextrun"/>
                <w:rFonts w:eastAsia="Malgun Gothic"/>
                <w:bCs/>
                <w:sz w:val="20"/>
                <w:szCs w:val="20"/>
              </w:rPr>
              <w:t>Consider rate matching behavior related to non-serving cell SSB.</w:t>
            </w:r>
          </w:p>
          <w:p w14:paraId="5F32E6C8" w14:textId="77777777" w:rsidR="00FA538C" w:rsidRPr="00F77E38" w:rsidRDefault="00FA538C"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CF026D4"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inter-cell multi-TRP</w:t>
      </w:r>
      <w:r>
        <w:rPr>
          <w:lang w:val="en-US"/>
        </w:rPr>
        <w:t xml:space="preserve"> enhancement.</w:t>
      </w:r>
    </w:p>
    <w:p w14:paraId="3529C3F4" w14:textId="06C063B1" w:rsidR="00732388" w:rsidRDefault="008F535A" w:rsidP="00D623A6">
      <w:pPr>
        <w:pStyle w:val="Heading1"/>
      </w:pPr>
      <w:r>
        <w:t>Discussion</w:t>
      </w:r>
    </w:p>
    <w:p w14:paraId="392FBD40" w14:textId="1A00454D" w:rsidR="00A13568" w:rsidRPr="00A13568" w:rsidRDefault="00A13568" w:rsidP="00A13568">
      <w:pPr>
        <w:pStyle w:val="Heading2"/>
      </w:pPr>
      <w:r>
        <w:t>Details on configuration of non-serving cell RS</w:t>
      </w:r>
    </w:p>
    <w:p w14:paraId="5220FA50" w14:textId="2FEBC732" w:rsidR="0079632E" w:rsidRDefault="0079632E" w:rsidP="008F535A">
      <w:pPr>
        <w:pStyle w:val="0Maintext"/>
        <w:spacing w:after="120" w:afterAutospacing="0" w:line="240" w:lineRule="auto"/>
        <w:ind w:firstLine="0"/>
        <w:rPr>
          <w:lang w:val="en-US" w:eastAsia="zh-CN"/>
        </w:rPr>
      </w:pPr>
      <w:r>
        <w:rPr>
          <w:lang w:val="en-US" w:eastAsia="zh-CN"/>
        </w:rPr>
        <w:t xml:space="preserve">In RAN1 #103, it was agreed that the non-serving cell information can be associated with TCI state. </w:t>
      </w:r>
      <w:r w:rsidR="005C6A60">
        <w:rPr>
          <w:lang w:val="en-US" w:eastAsia="zh-CN"/>
        </w:rPr>
        <w:t xml:space="preserve">In Rel-16, </w:t>
      </w:r>
      <w:r w:rsidR="005C6A60" w:rsidRPr="004B7C51">
        <w:rPr>
          <w:i/>
          <w:iCs/>
          <w:lang w:val="en-US" w:eastAsia="zh-CN"/>
        </w:rPr>
        <w:t>SSB-Configuration-r16</w:t>
      </w:r>
      <w:r w:rsidR="005C6A60">
        <w:rPr>
          <w:lang w:val="en-US" w:eastAsia="zh-CN"/>
        </w:rPr>
        <w:t xml:space="preserve"> can be used to provide some neighbor cell information for positioning, however, if positioning is not enabled, UE cannot see such configuration. Similarly, </w:t>
      </w:r>
      <w:proofErr w:type="spellStart"/>
      <w:r w:rsidR="005C6A60" w:rsidRPr="004B7C51">
        <w:rPr>
          <w:i/>
          <w:iCs/>
          <w:lang w:val="en-US" w:eastAsia="zh-CN"/>
        </w:rPr>
        <w:t>MeasObjectNR</w:t>
      </w:r>
      <w:proofErr w:type="spellEnd"/>
      <w:r w:rsidR="005C6A60">
        <w:rPr>
          <w:lang w:val="en-US" w:eastAsia="zh-CN"/>
        </w:rPr>
        <w:t xml:space="preserve"> can provide some information for neighbor cell. But the information from </w:t>
      </w:r>
      <w:proofErr w:type="spellStart"/>
      <w:r w:rsidR="005C6A60" w:rsidRPr="004B7C51">
        <w:rPr>
          <w:i/>
          <w:iCs/>
          <w:lang w:val="en-US" w:eastAsia="zh-CN"/>
        </w:rPr>
        <w:t>MeasObjectNR</w:t>
      </w:r>
      <w:proofErr w:type="spellEnd"/>
      <w:r w:rsidR="005C6A60">
        <w:rPr>
          <w:lang w:val="en-US" w:eastAsia="zh-CN"/>
        </w:rPr>
        <w:t xml:space="preserve"> may not be enough and gNB does not necessarily need to include the assistant cell in </w:t>
      </w:r>
      <w:proofErr w:type="spellStart"/>
      <w:r w:rsidR="005C6A60" w:rsidRPr="004B7C51">
        <w:rPr>
          <w:i/>
          <w:iCs/>
          <w:lang w:val="en-US" w:eastAsia="zh-CN"/>
        </w:rPr>
        <w:t>MeasObjectNR</w:t>
      </w:r>
      <w:proofErr w:type="spellEnd"/>
      <w:r w:rsidR="005C6A60">
        <w:rPr>
          <w:lang w:val="en-US" w:eastAsia="zh-CN"/>
        </w:rPr>
        <w:t>. Therefore, all the SSB related information from the neighbor cell needs to be provided separately.</w:t>
      </w:r>
    </w:p>
    <w:p w14:paraId="6DE055F1" w14:textId="727112BD" w:rsidR="00062AD2" w:rsidRPr="006131DF" w:rsidRDefault="005C6A60" w:rsidP="008F535A">
      <w:pPr>
        <w:pStyle w:val="0Maintext"/>
        <w:spacing w:after="120" w:afterAutospacing="0" w:line="240" w:lineRule="auto"/>
        <w:ind w:firstLine="0"/>
        <w:rPr>
          <w:lang w:val="en-US" w:eastAsia="zh-CN"/>
        </w:rPr>
      </w:pPr>
      <w:r>
        <w:rPr>
          <w:lang w:val="en-US" w:eastAsia="zh-CN"/>
        </w:rPr>
        <w:t>The first information should be physical cell ID for the neighbor cell. Then to measure SSB, at least the frequency location of SSB, SSB burst pattern, SSB transmission power should be provided. The SSB subcarrier spacing may not need to be provided if both cells should be assumed to be with the same subcarrier spacing.</w:t>
      </w:r>
    </w:p>
    <w:p w14:paraId="4B0AF0F3" w14:textId="3F4408B3" w:rsidR="00FE7353" w:rsidRDefault="00FE7353" w:rsidP="00727B93">
      <w:pPr>
        <w:pStyle w:val="0Maintext"/>
        <w:spacing w:after="120" w:afterAutospacing="0" w:line="240" w:lineRule="auto"/>
        <w:ind w:firstLine="0"/>
        <w:rPr>
          <w:b/>
          <w:bCs/>
          <w:i/>
          <w:iCs/>
          <w:lang w:val="en-US" w:eastAsia="zh-CN"/>
        </w:rPr>
      </w:pPr>
      <w:r>
        <w:rPr>
          <w:b/>
          <w:bCs/>
          <w:i/>
          <w:iCs/>
          <w:lang w:val="en-US" w:eastAsia="zh-CN"/>
        </w:rPr>
        <w:t xml:space="preserve">Proposal </w:t>
      </w:r>
      <w:r w:rsidR="004D79CD">
        <w:rPr>
          <w:b/>
          <w:bCs/>
          <w:i/>
          <w:iCs/>
          <w:lang w:val="en-US" w:eastAsia="zh-CN"/>
        </w:rPr>
        <w:t>1</w:t>
      </w:r>
      <w:r>
        <w:rPr>
          <w:b/>
          <w:bCs/>
          <w:i/>
          <w:iCs/>
          <w:lang w:val="en-US" w:eastAsia="zh-CN"/>
        </w:rPr>
        <w:t xml:space="preserve">: Support to </w:t>
      </w:r>
      <w:r w:rsidR="004B7C51">
        <w:rPr>
          <w:b/>
          <w:bCs/>
          <w:i/>
          <w:iCs/>
          <w:lang w:val="en-US" w:eastAsia="zh-CN"/>
        </w:rPr>
        <w:t xml:space="preserve">separately </w:t>
      </w:r>
      <w:r w:rsidR="006131DF">
        <w:rPr>
          <w:b/>
          <w:bCs/>
          <w:i/>
          <w:iCs/>
          <w:lang w:val="en-US" w:eastAsia="zh-CN"/>
        </w:rPr>
        <w:t xml:space="preserve">configure </w:t>
      </w:r>
      <w:r w:rsidR="00682F29">
        <w:rPr>
          <w:b/>
          <w:bCs/>
          <w:i/>
          <w:iCs/>
          <w:lang w:val="en-US" w:eastAsia="zh-CN"/>
        </w:rPr>
        <w:t>assistant</w:t>
      </w:r>
      <w:r w:rsidR="006131DF">
        <w:rPr>
          <w:b/>
          <w:bCs/>
          <w:i/>
          <w:iCs/>
          <w:lang w:val="en-US" w:eastAsia="zh-CN"/>
        </w:rPr>
        <w:t xml:space="preserve"> cell physical cell ID, SSB frequency location, SSB burst pattern and SSB transmission power</w:t>
      </w:r>
      <w:r>
        <w:rPr>
          <w:b/>
          <w:bCs/>
          <w:i/>
          <w:iCs/>
          <w:lang w:val="en-US" w:eastAsia="zh-CN"/>
        </w:rPr>
        <w:t>.</w:t>
      </w:r>
    </w:p>
    <w:p w14:paraId="7632FE2F" w14:textId="2C01D748" w:rsidR="004D79CD" w:rsidRPr="003A7CA0" w:rsidRDefault="006131DF" w:rsidP="003A7CA0">
      <w:pPr>
        <w:pStyle w:val="0Maintext"/>
        <w:numPr>
          <w:ilvl w:val="0"/>
          <w:numId w:val="25"/>
        </w:numPr>
        <w:spacing w:after="120" w:afterAutospacing="0" w:line="240" w:lineRule="auto"/>
        <w:rPr>
          <w:b/>
          <w:bCs/>
          <w:i/>
          <w:iCs/>
          <w:lang w:val="en-US" w:eastAsia="zh-CN"/>
        </w:rPr>
      </w:pPr>
      <w:r>
        <w:rPr>
          <w:b/>
          <w:bCs/>
          <w:i/>
          <w:iCs/>
          <w:lang w:val="en-US" w:eastAsia="zh-CN"/>
        </w:rPr>
        <w:t>SSB subcarrier spacing for the two cells should be assumed to be the same.</w:t>
      </w:r>
    </w:p>
    <w:p w14:paraId="5CAE4F49" w14:textId="31EE1B48" w:rsidR="004D79CD" w:rsidRDefault="004D79CD" w:rsidP="004D79CD">
      <w:pPr>
        <w:pStyle w:val="Heading2"/>
      </w:pPr>
      <w:r>
        <w:t>Allowed source and target RS types for QCL indication</w:t>
      </w:r>
    </w:p>
    <w:p w14:paraId="66E81C57" w14:textId="78DA0754" w:rsidR="004D79CD" w:rsidRDefault="004D79CD" w:rsidP="004D79CD">
      <w:pPr>
        <w:pStyle w:val="0Maintext"/>
        <w:spacing w:after="120" w:afterAutospacing="0" w:line="240" w:lineRule="auto"/>
        <w:ind w:firstLine="0"/>
        <w:rPr>
          <w:lang w:val="en-US" w:eastAsia="zh-CN"/>
        </w:rPr>
      </w:pPr>
      <w:r w:rsidRPr="004D79CD">
        <w:rPr>
          <w:lang w:val="en-US" w:eastAsia="zh-CN"/>
        </w:rPr>
        <w:t xml:space="preserve">There </w:t>
      </w:r>
      <w:r>
        <w:rPr>
          <w:lang w:val="en-US" w:eastAsia="zh-CN"/>
        </w:rPr>
        <w:t xml:space="preserve">is no fundamental difference to configure neighbor cell RS as QCL source for signals associated with assistant cell from QCL indication perspective. </w:t>
      </w:r>
      <w:r w:rsidR="003A7CA0">
        <w:rPr>
          <w:lang w:val="en-US" w:eastAsia="zh-CN"/>
        </w:rPr>
        <w:t xml:space="preserve">Since this is for multi-DCI based multi-TRP operation, the QCL </w:t>
      </w:r>
      <w:r w:rsidR="003A7CA0">
        <w:rPr>
          <w:lang w:val="en-US" w:eastAsia="zh-CN"/>
        </w:rPr>
        <w:lastRenderedPageBreak/>
        <w:t>indication should be aligned with the CORESET pool indication, where the signals associated with the same CORESET pool should be associated with the same physical cell ID.</w:t>
      </w:r>
      <w:r>
        <w:rPr>
          <w:lang w:val="en-US" w:eastAsia="zh-CN"/>
        </w:rPr>
        <w:t xml:space="preserve"> </w:t>
      </w:r>
    </w:p>
    <w:p w14:paraId="5F581E1F" w14:textId="4092FE9D" w:rsidR="003A7CA0" w:rsidRPr="003A7CA0" w:rsidRDefault="003A7CA0" w:rsidP="004D79CD">
      <w:pPr>
        <w:pStyle w:val="0Maintext"/>
        <w:spacing w:after="120" w:afterAutospacing="0" w:line="240" w:lineRule="auto"/>
        <w:ind w:firstLine="0"/>
        <w:rPr>
          <w:b/>
          <w:bCs/>
          <w:i/>
          <w:iCs/>
          <w:lang w:val="en-US" w:eastAsia="zh-CN"/>
        </w:rPr>
      </w:pPr>
      <w:r w:rsidRPr="003A7CA0">
        <w:rPr>
          <w:b/>
          <w:bCs/>
          <w:i/>
          <w:iCs/>
          <w:lang w:val="en-US" w:eastAsia="zh-CN"/>
        </w:rPr>
        <w:t>Proposal 2: UE shall expect the signals associated with the same CORESET pool should be associated with the same physical cell ID from QCL indication perspective.</w:t>
      </w:r>
    </w:p>
    <w:p w14:paraId="25AF30DE" w14:textId="7D20E6FE" w:rsidR="003A7CA0" w:rsidRDefault="003A7CA0" w:rsidP="003A7CA0">
      <w:pPr>
        <w:pStyle w:val="Heading2"/>
      </w:pPr>
      <w:r>
        <w:t>Allowed QCL types</w:t>
      </w:r>
    </w:p>
    <w:p w14:paraId="30E9319B" w14:textId="3BE17B94" w:rsidR="003A7CA0" w:rsidRDefault="003A7CA0" w:rsidP="004D79CD">
      <w:pPr>
        <w:pStyle w:val="0Maintext"/>
        <w:spacing w:after="120" w:afterAutospacing="0" w:line="240" w:lineRule="auto"/>
        <w:ind w:firstLine="0"/>
        <w:rPr>
          <w:lang w:val="en-US" w:eastAsia="zh-CN"/>
        </w:rPr>
      </w:pPr>
      <w:r>
        <w:rPr>
          <w:lang w:val="en-US" w:eastAsia="zh-CN"/>
        </w:rPr>
        <w:t>Compared to configuring serving cell SSB/CSI-RS as the QCL source of serving cell signals, e.g. PDCCH/PDSCH, there is no fundamental difference for the case to configure neighbor cell SSB/CSI-RS as the QCL source of neighbor cell signals. Thus, to reuse what is defined for serving cell QCL indication should be enough.</w:t>
      </w:r>
    </w:p>
    <w:p w14:paraId="36404EE6" w14:textId="551B1FFB" w:rsidR="003A7CA0" w:rsidRPr="003A7CA0" w:rsidRDefault="003A7CA0" w:rsidP="004D79CD">
      <w:pPr>
        <w:pStyle w:val="0Maintext"/>
        <w:spacing w:after="120" w:afterAutospacing="0" w:line="240" w:lineRule="auto"/>
        <w:ind w:firstLine="0"/>
        <w:rPr>
          <w:b/>
          <w:bCs/>
          <w:i/>
          <w:iCs/>
          <w:lang w:val="en-US" w:eastAsia="zh-CN"/>
        </w:rPr>
      </w:pPr>
      <w:r w:rsidRPr="003A7CA0">
        <w:rPr>
          <w:b/>
          <w:bCs/>
          <w:i/>
          <w:iCs/>
          <w:lang w:val="en-US" w:eastAsia="zh-CN"/>
        </w:rPr>
        <w:t>Proposal 3: The allowed QCL type for assistant cell should reuse what has been defined for serving cell QCL indication.</w:t>
      </w:r>
    </w:p>
    <w:p w14:paraId="6F9804BA" w14:textId="6F575A85" w:rsidR="003A7CA0" w:rsidRDefault="003A7CA0" w:rsidP="003A7CA0">
      <w:pPr>
        <w:pStyle w:val="Heading2"/>
      </w:pPr>
      <w:r>
        <w:t>Clarification of UE behavior for multiplexing non-serving cell with other channels</w:t>
      </w:r>
    </w:p>
    <w:p w14:paraId="18B9ADA7" w14:textId="17B34910" w:rsidR="003A7CA0" w:rsidRDefault="00232EDC" w:rsidP="004D79CD">
      <w:pPr>
        <w:pStyle w:val="0Maintext"/>
        <w:spacing w:after="120" w:afterAutospacing="0" w:line="240" w:lineRule="auto"/>
        <w:ind w:firstLine="0"/>
        <w:rPr>
          <w:lang w:val="en-US" w:eastAsia="zh-CN"/>
        </w:rPr>
      </w:pPr>
      <w:r>
        <w:rPr>
          <w:lang w:val="en-US" w:eastAsia="zh-CN"/>
        </w:rPr>
        <w:t xml:space="preserve">Similar to the serving cell, it is straight-forward that the resources for neighbor cell SSBs would be considered as “not available” at least for neighbor cell signal resource mapping. However, whether the resources for neighbor cell SSBs should be considered as “not available” for serving cell signals should be determined by the receiving schemes. If the signals from different cells are received individually, the resources for neighbor cell SSBs can still be used for serving cell signals. If joint reception is utilized, the resources for neighbor cell SSBs should be considered as “not available” for serving cell signals. </w:t>
      </w:r>
      <w:proofErr w:type="gramStart"/>
      <w:r>
        <w:rPr>
          <w:lang w:val="en-US" w:eastAsia="zh-CN"/>
        </w:rPr>
        <w:t>Thus</w:t>
      </w:r>
      <w:proofErr w:type="gramEnd"/>
      <w:r>
        <w:rPr>
          <w:lang w:val="en-US" w:eastAsia="zh-CN"/>
        </w:rPr>
        <w:t xml:space="preserve"> it is better that UE can report whether resources for assistant SSBs should be considered as “not available” for serving cell signals or not.</w:t>
      </w:r>
    </w:p>
    <w:p w14:paraId="0639F6AE" w14:textId="415F30F2" w:rsidR="00232EDC" w:rsidRPr="00232EDC" w:rsidRDefault="00232EDC" w:rsidP="004D79CD">
      <w:pPr>
        <w:pStyle w:val="0Maintext"/>
        <w:spacing w:after="120" w:afterAutospacing="0" w:line="240" w:lineRule="auto"/>
        <w:ind w:firstLine="0"/>
        <w:rPr>
          <w:b/>
          <w:bCs/>
          <w:i/>
          <w:iCs/>
          <w:lang w:val="en-US" w:eastAsia="zh-CN"/>
        </w:rPr>
      </w:pPr>
      <w:r w:rsidRPr="00232EDC">
        <w:rPr>
          <w:b/>
          <w:bCs/>
          <w:i/>
          <w:iCs/>
          <w:lang w:val="en-US" w:eastAsia="zh-CN"/>
        </w:rPr>
        <w:t xml:space="preserve">Proposal </w:t>
      </w:r>
      <w:r w:rsidR="00682F29">
        <w:rPr>
          <w:b/>
          <w:bCs/>
          <w:i/>
          <w:iCs/>
          <w:lang w:val="en-US" w:eastAsia="zh-CN"/>
        </w:rPr>
        <w:t>4</w:t>
      </w:r>
      <w:r w:rsidRPr="00232EDC">
        <w:rPr>
          <w:b/>
          <w:bCs/>
          <w:i/>
          <w:iCs/>
          <w:lang w:val="en-US" w:eastAsia="zh-CN"/>
        </w:rPr>
        <w:t>: For assistant cell signals, the resources for assistant SSBs should be considered as “not available”.</w:t>
      </w:r>
    </w:p>
    <w:p w14:paraId="742A7822" w14:textId="3B431B86" w:rsidR="004D79CD" w:rsidRPr="00232EDC" w:rsidRDefault="00232EDC" w:rsidP="00232EDC">
      <w:pPr>
        <w:pStyle w:val="0Maintext"/>
        <w:numPr>
          <w:ilvl w:val="0"/>
          <w:numId w:val="25"/>
        </w:numPr>
        <w:spacing w:after="120" w:afterAutospacing="0" w:line="240" w:lineRule="auto"/>
        <w:rPr>
          <w:b/>
          <w:bCs/>
          <w:i/>
          <w:iCs/>
          <w:lang w:val="en-US" w:eastAsia="zh-CN"/>
        </w:rPr>
      </w:pPr>
      <w:r w:rsidRPr="00232EDC">
        <w:rPr>
          <w:b/>
          <w:bCs/>
          <w:i/>
          <w:iCs/>
          <w:lang w:val="en-US" w:eastAsia="zh-CN"/>
        </w:rPr>
        <w:t>For serving cell signals, whether resources for assistant SSBs should be considered as “not available” or not should be reported by UE capability.</w:t>
      </w:r>
    </w:p>
    <w:p w14:paraId="319B6700" w14:textId="2C7FF69F" w:rsidR="007A1F9E" w:rsidRDefault="007A1F9E" w:rsidP="007A1F9E">
      <w:pPr>
        <w:pStyle w:val="Heading1"/>
      </w:pPr>
      <w:r>
        <w:t>Conclusion</w:t>
      </w:r>
    </w:p>
    <w:p w14:paraId="493C61C7" w14:textId="64378CE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75A4C">
        <w:rPr>
          <w:lang w:val="en-US" w:eastAsia="zh-CN"/>
        </w:rPr>
        <w:t xml:space="preserve">inter-cell </w:t>
      </w:r>
      <w:r w:rsidR="002454C7">
        <w:rPr>
          <w:lang w:val="en-US" w:eastAsia="zh-CN"/>
        </w:rPr>
        <w:t>multi-TRP enhancement</w:t>
      </w:r>
      <w:r>
        <w:rPr>
          <w:lang w:val="en-US" w:eastAsia="zh-CN"/>
        </w:rPr>
        <w:t>. Based on the discussion, the following proposals have been achieved.</w:t>
      </w:r>
    </w:p>
    <w:p w14:paraId="4C7E56C4" w14:textId="18439023" w:rsidR="006131DF" w:rsidRDefault="006131DF" w:rsidP="006131DF">
      <w:pPr>
        <w:pStyle w:val="0Maintext"/>
        <w:spacing w:after="120" w:afterAutospacing="0" w:line="240" w:lineRule="auto"/>
        <w:ind w:firstLine="0"/>
        <w:rPr>
          <w:b/>
          <w:bCs/>
          <w:i/>
          <w:iCs/>
          <w:lang w:val="en-US" w:eastAsia="zh-CN"/>
        </w:rPr>
      </w:pPr>
      <w:r>
        <w:rPr>
          <w:b/>
          <w:bCs/>
          <w:i/>
          <w:iCs/>
          <w:lang w:val="en-US" w:eastAsia="zh-CN"/>
        </w:rPr>
        <w:t xml:space="preserve">Proposal 1: Support to </w:t>
      </w:r>
      <w:r w:rsidR="004B7C51">
        <w:rPr>
          <w:b/>
          <w:bCs/>
          <w:i/>
          <w:iCs/>
          <w:lang w:val="en-US" w:eastAsia="zh-CN"/>
        </w:rPr>
        <w:t xml:space="preserve">separately </w:t>
      </w:r>
      <w:r>
        <w:rPr>
          <w:b/>
          <w:bCs/>
          <w:i/>
          <w:iCs/>
          <w:lang w:val="en-US" w:eastAsia="zh-CN"/>
        </w:rPr>
        <w:t xml:space="preserve">configure </w:t>
      </w:r>
      <w:r w:rsidR="00682F29">
        <w:rPr>
          <w:b/>
          <w:bCs/>
          <w:i/>
          <w:iCs/>
          <w:lang w:val="en-US" w:eastAsia="zh-CN"/>
        </w:rPr>
        <w:t xml:space="preserve">assistant </w:t>
      </w:r>
      <w:r>
        <w:rPr>
          <w:b/>
          <w:bCs/>
          <w:i/>
          <w:iCs/>
          <w:lang w:val="en-US" w:eastAsia="zh-CN"/>
        </w:rPr>
        <w:t>cell physical cell ID, SSB frequency location, SSB burst pattern and SSB transmission power.</w:t>
      </w:r>
    </w:p>
    <w:p w14:paraId="25D3777E" w14:textId="77777777" w:rsidR="006131DF" w:rsidRPr="003A7CA0" w:rsidRDefault="006131DF" w:rsidP="006131DF">
      <w:pPr>
        <w:pStyle w:val="0Maintext"/>
        <w:numPr>
          <w:ilvl w:val="0"/>
          <w:numId w:val="25"/>
        </w:numPr>
        <w:spacing w:after="120" w:afterAutospacing="0" w:line="240" w:lineRule="auto"/>
        <w:rPr>
          <w:b/>
          <w:bCs/>
          <w:i/>
          <w:iCs/>
          <w:lang w:val="en-US" w:eastAsia="zh-CN"/>
        </w:rPr>
      </w:pPr>
      <w:r>
        <w:rPr>
          <w:b/>
          <w:bCs/>
          <w:i/>
          <w:iCs/>
          <w:lang w:val="en-US" w:eastAsia="zh-CN"/>
        </w:rPr>
        <w:t>SSB subcarrier spacing for the two cells should be assumed to be the same.</w:t>
      </w:r>
    </w:p>
    <w:p w14:paraId="03437E6A" w14:textId="77777777" w:rsidR="00232EDC" w:rsidRPr="003A7CA0" w:rsidRDefault="00232EDC" w:rsidP="00232EDC">
      <w:pPr>
        <w:pStyle w:val="0Maintext"/>
        <w:spacing w:after="120" w:afterAutospacing="0" w:line="240" w:lineRule="auto"/>
        <w:ind w:firstLine="0"/>
        <w:rPr>
          <w:b/>
          <w:bCs/>
          <w:i/>
          <w:iCs/>
          <w:lang w:val="en-US" w:eastAsia="zh-CN"/>
        </w:rPr>
      </w:pPr>
      <w:r w:rsidRPr="003A7CA0">
        <w:rPr>
          <w:b/>
          <w:bCs/>
          <w:i/>
          <w:iCs/>
          <w:lang w:val="en-US" w:eastAsia="zh-CN"/>
        </w:rPr>
        <w:t>Proposal 2: UE shall expect the signals associated with the same CORESET pool should be associated with the same physical cell ID from QCL indication perspective.</w:t>
      </w:r>
    </w:p>
    <w:p w14:paraId="1B689F27" w14:textId="77777777" w:rsidR="00232EDC" w:rsidRPr="003A7CA0" w:rsidRDefault="00232EDC" w:rsidP="00232EDC">
      <w:pPr>
        <w:pStyle w:val="0Maintext"/>
        <w:spacing w:after="120" w:afterAutospacing="0" w:line="240" w:lineRule="auto"/>
        <w:ind w:firstLine="0"/>
        <w:rPr>
          <w:b/>
          <w:bCs/>
          <w:i/>
          <w:iCs/>
          <w:lang w:val="en-US" w:eastAsia="zh-CN"/>
        </w:rPr>
      </w:pPr>
      <w:r w:rsidRPr="003A7CA0">
        <w:rPr>
          <w:b/>
          <w:bCs/>
          <w:i/>
          <w:iCs/>
          <w:lang w:val="en-US" w:eastAsia="zh-CN"/>
        </w:rPr>
        <w:t>Proposal 3: The allowed QCL type for assistant cell should reuse what has been defined for serving cell QCL indication.</w:t>
      </w:r>
    </w:p>
    <w:p w14:paraId="505E35D5" w14:textId="6B8E9F44" w:rsidR="00232EDC" w:rsidRPr="00232EDC" w:rsidRDefault="00232EDC" w:rsidP="00232EDC">
      <w:pPr>
        <w:pStyle w:val="0Maintext"/>
        <w:spacing w:after="120" w:afterAutospacing="0" w:line="240" w:lineRule="auto"/>
        <w:ind w:firstLine="0"/>
        <w:rPr>
          <w:b/>
          <w:bCs/>
          <w:i/>
          <w:iCs/>
          <w:lang w:val="en-US" w:eastAsia="zh-CN"/>
        </w:rPr>
      </w:pPr>
      <w:r w:rsidRPr="00232EDC">
        <w:rPr>
          <w:b/>
          <w:bCs/>
          <w:i/>
          <w:iCs/>
          <w:lang w:val="en-US" w:eastAsia="zh-CN"/>
        </w:rPr>
        <w:t xml:space="preserve">Proposal </w:t>
      </w:r>
      <w:r w:rsidR="00682F29">
        <w:rPr>
          <w:b/>
          <w:bCs/>
          <w:i/>
          <w:iCs/>
          <w:lang w:val="en-US" w:eastAsia="zh-CN"/>
        </w:rPr>
        <w:t>4</w:t>
      </w:r>
      <w:r w:rsidRPr="00232EDC">
        <w:rPr>
          <w:b/>
          <w:bCs/>
          <w:i/>
          <w:iCs/>
          <w:lang w:val="en-US" w:eastAsia="zh-CN"/>
        </w:rPr>
        <w:t>: For assistant cell signals, the resources for assistant SSBs should be considered as “not available”.</w:t>
      </w:r>
    </w:p>
    <w:p w14:paraId="49440C70" w14:textId="11711BC5" w:rsidR="00232EDC" w:rsidRPr="00232EDC" w:rsidRDefault="00232EDC" w:rsidP="00232EDC">
      <w:pPr>
        <w:pStyle w:val="0Maintext"/>
        <w:numPr>
          <w:ilvl w:val="0"/>
          <w:numId w:val="25"/>
        </w:numPr>
        <w:spacing w:after="120" w:afterAutospacing="0" w:line="240" w:lineRule="auto"/>
        <w:rPr>
          <w:b/>
          <w:bCs/>
          <w:i/>
          <w:iCs/>
          <w:lang w:val="en-US" w:eastAsia="zh-CN"/>
        </w:rPr>
      </w:pPr>
      <w:r w:rsidRPr="00232EDC">
        <w:rPr>
          <w:b/>
          <w:bCs/>
          <w:i/>
          <w:iCs/>
          <w:lang w:val="en-US" w:eastAsia="zh-CN"/>
        </w:rPr>
        <w:t>For serving cell signals, whether resources for assistant SSBs should be considered as “not available” or not should be reported by UE capability.</w:t>
      </w:r>
    </w:p>
    <w:p w14:paraId="3E2A992F" w14:textId="77777777" w:rsidR="00232EDC" w:rsidRDefault="00232EDC" w:rsidP="007A1F9E">
      <w:pPr>
        <w:pStyle w:val="0Maintext"/>
        <w:spacing w:after="120" w:afterAutospacing="0" w:line="240" w:lineRule="auto"/>
        <w:ind w:firstLine="0"/>
        <w:rPr>
          <w:b/>
          <w:bCs/>
          <w:i/>
          <w:iCs/>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4"/>
  </w:num>
  <w:num w:numId="6">
    <w:abstractNumId w:val="25"/>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14"/>
  </w:num>
  <w:num w:numId="16">
    <w:abstractNumId w:val="23"/>
  </w:num>
  <w:num w:numId="17">
    <w:abstractNumId w:val="17"/>
  </w:num>
  <w:num w:numId="18">
    <w:abstractNumId w:val="19"/>
  </w:num>
  <w:num w:numId="19">
    <w:abstractNumId w:val="11"/>
  </w:num>
  <w:num w:numId="20">
    <w:abstractNumId w:val="26"/>
  </w:num>
  <w:num w:numId="21">
    <w:abstractNumId w:val="21"/>
  </w:num>
  <w:num w:numId="22">
    <w:abstractNumId w:val="15"/>
  </w:num>
  <w:num w:numId="23">
    <w:abstractNumId w:val="22"/>
  </w:num>
  <w:num w:numId="24">
    <w:abstractNumId w:val="13"/>
  </w:num>
  <w:num w:numId="25">
    <w:abstractNumId w:val="16"/>
  </w:num>
  <w:num w:numId="26">
    <w:abstractNumId w:val="20"/>
  </w:num>
  <w:num w:numId="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D4551"/>
    <w:rsid w:val="001E62A2"/>
    <w:rsid w:val="001F1442"/>
    <w:rsid w:val="00203A0D"/>
    <w:rsid w:val="002134C9"/>
    <w:rsid w:val="0022367D"/>
    <w:rsid w:val="00232779"/>
    <w:rsid w:val="00232EDC"/>
    <w:rsid w:val="002454C7"/>
    <w:rsid w:val="00245D27"/>
    <w:rsid w:val="00252B41"/>
    <w:rsid w:val="00266E0F"/>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A7CA0"/>
    <w:rsid w:val="003B620C"/>
    <w:rsid w:val="003C49B0"/>
    <w:rsid w:val="003D51F2"/>
    <w:rsid w:val="003E66DF"/>
    <w:rsid w:val="003E75B6"/>
    <w:rsid w:val="00417FC9"/>
    <w:rsid w:val="00446F00"/>
    <w:rsid w:val="004527EA"/>
    <w:rsid w:val="00461B15"/>
    <w:rsid w:val="00475A4C"/>
    <w:rsid w:val="004A2991"/>
    <w:rsid w:val="004A41EF"/>
    <w:rsid w:val="004B3124"/>
    <w:rsid w:val="004B368D"/>
    <w:rsid w:val="004B4D8D"/>
    <w:rsid w:val="004B74CC"/>
    <w:rsid w:val="004B7C51"/>
    <w:rsid w:val="004C4A14"/>
    <w:rsid w:val="004D79CD"/>
    <w:rsid w:val="005062CA"/>
    <w:rsid w:val="00517ADD"/>
    <w:rsid w:val="00523D91"/>
    <w:rsid w:val="005327E9"/>
    <w:rsid w:val="0053782C"/>
    <w:rsid w:val="00556671"/>
    <w:rsid w:val="0057794A"/>
    <w:rsid w:val="00583230"/>
    <w:rsid w:val="0059417B"/>
    <w:rsid w:val="00596063"/>
    <w:rsid w:val="005B0F7A"/>
    <w:rsid w:val="005B1AD1"/>
    <w:rsid w:val="005B6997"/>
    <w:rsid w:val="005C6A60"/>
    <w:rsid w:val="005D45F7"/>
    <w:rsid w:val="005D5233"/>
    <w:rsid w:val="005E275C"/>
    <w:rsid w:val="005F7A0E"/>
    <w:rsid w:val="00604C3D"/>
    <w:rsid w:val="006131DF"/>
    <w:rsid w:val="0061765C"/>
    <w:rsid w:val="00622552"/>
    <w:rsid w:val="00626534"/>
    <w:rsid w:val="00631A14"/>
    <w:rsid w:val="00634AF5"/>
    <w:rsid w:val="00636D7B"/>
    <w:rsid w:val="00641951"/>
    <w:rsid w:val="00645994"/>
    <w:rsid w:val="006531B1"/>
    <w:rsid w:val="00666868"/>
    <w:rsid w:val="00682F29"/>
    <w:rsid w:val="006A45D6"/>
    <w:rsid w:val="006A57C0"/>
    <w:rsid w:val="006C4E0D"/>
    <w:rsid w:val="006D54CF"/>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9632E"/>
    <w:rsid w:val="007A1F9E"/>
    <w:rsid w:val="007E3054"/>
    <w:rsid w:val="007E554B"/>
    <w:rsid w:val="007E6FF6"/>
    <w:rsid w:val="007F128C"/>
    <w:rsid w:val="007F4737"/>
    <w:rsid w:val="008149CF"/>
    <w:rsid w:val="00820D52"/>
    <w:rsid w:val="00822058"/>
    <w:rsid w:val="0083672B"/>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13568"/>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4058C"/>
    <w:rsid w:val="00B658E6"/>
    <w:rsid w:val="00B72388"/>
    <w:rsid w:val="00B76F27"/>
    <w:rsid w:val="00B81924"/>
    <w:rsid w:val="00B86B50"/>
    <w:rsid w:val="00B875E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E6C20"/>
    <w:rsid w:val="00DF0066"/>
    <w:rsid w:val="00DF7804"/>
    <w:rsid w:val="00E00694"/>
    <w:rsid w:val="00E06A06"/>
    <w:rsid w:val="00E10633"/>
    <w:rsid w:val="00E11B95"/>
    <w:rsid w:val="00E327AE"/>
    <w:rsid w:val="00E55EB5"/>
    <w:rsid w:val="00E56A0E"/>
    <w:rsid w:val="00E60394"/>
    <w:rsid w:val="00E80518"/>
    <w:rsid w:val="00E852C2"/>
    <w:rsid w:val="00EA73C1"/>
    <w:rsid w:val="00EB4CAE"/>
    <w:rsid w:val="00EC0F55"/>
    <w:rsid w:val="00EC2A35"/>
    <w:rsid w:val="00ED0C58"/>
    <w:rsid w:val="00EE18CC"/>
    <w:rsid w:val="00EF7114"/>
    <w:rsid w:val="00F01BD8"/>
    <w:rsid w:val="00F05BCC"/>
    <w:rsid w:val="00F17D02"/>
    <w:rsid w:val="00F24869"/>
    <w:rsid w:val="00F36F33"/>
    <w:rsid w:val="00F37734"/>
    <w:rsid w:val="00F419A6"/>
    <w:rsid w:val="00F43CD1"/>
    <w:rsid w:val="00F763E7"/>
    <w:rsid w:val="00F77E38"/>
    <w:rsid w:val="00F86C35"/>
    <w:rsid w:val="00F874FE"/>
    <w:rsid w:val="00F87CB0"/>
    <w:rsid w:val="00FA0560"/>
    <w:rsid w:val="00FA48C3"/>
    <w:rsid w:val="00FA538C"/>
    <w:rsid w:val="00FE04B1"/>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9</cp:revision>
  <dcterms:created xsi:type="dcterms:W3CDTF">2021-01-07T07:04:00Z</dcterms:created>
  <dcterms:modified xsi:type="dcterms:W3CDTF">2021-01-16T00:55:00Z</dcterms:modified>
</cp:coreProperties>
</file>